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8E" w:rsidRDefault="00FA698E" w:rsidP="00FA698E">
      <w:pPr>
        <w:spacing w:line="240" w:lineRule="atLeast"/>
        <w:ind w:left="4536"/>
        <w:jc w:val="center"/>
      </w:pPr>
      <w:r>
        <w:t>ПРИЛОЖЕНИЕ № 3</w:t>
      </w:r>
    </w:p>
    <w:p w:rsidR="00FA698E" w:rsidRDefault="00FA698E" w:rsidP="00FA698E">
      <w:pPr>
        <w:spacing w:line="240" w:lineRule="atLeast"/>
        <w:ind w:left="4536"/>
        <w:jc w:val="center"/>
      </w:pPr>
      <w:r>
        <w:t>к Основным положениям функционирования розничных рынков электрической энергии</w:t>
      </w:r>
    </w:p>
    <w:p w:rsidR="00FA698E" w:rsidRDefault="00FA698E" w:rsidP="00FA698E">
      <w:pPr>
        <w:spacing w:line="240" w:lineRule="exact"/>
      </w:pPr>
    </w:p>
    <w:p w:rsidR="00FA698E" w:rsidRPr="00B1061E" w:rsidRDefault="00FA698E" w:rsidP="00FA698E">
      <w:pPr>
        <w:ind w:left="4990"/>
        <w:jc w:val="right"/>
        <w:rPr>
          <w:rFonts w:ascii="Arial Narrow" w:hAnsi="Arial Narrow"/>
          <w:sz w:val="20"/>
          <w:szCs w:val="20"/>
        </w:rPr>
      </w:pPr>
      <w:r>
        <w:t xml:space="preserve">                  </w:t>
      </w:r>
      <w:r w:rsidRPr="00B1061E">
        <w:rPr>
          <w:rFonts w:ascii="Arial Narrow" w:hAnsi="Arial Narrow"/>
          <w:sz w:val="20"/>
          <w:szCs w:val="20"/>
        </w:rPr>
        <w:t>УТВЕРЖДЕНЫ</w:t>
      </w:r>
    </w:p>
    <w:p w:rsidR="00FA698E" w:rsidRPr="00B1061E" w:rsidRDefault="00FA698E" w:rsidP="00FA698E">
      <w:pPr>
        <w:jc w:val="right"/>
        <w:rPr>
          <w:rFonts w:ascii="Arial Narrow" w:hAnsi="Arial Narrow"/>
          <w:sz w:val="20"/>
          <w:szCs w:val="20"/>
        </w:rPr>
      </w:pPr>
      <w:r w:rsidRPr="00B1061E">
        <w:rPr>
          <w:rFonts w:ascii="Arial Narrow" w:hAnsi="Arial Narrow"/>
          <w:sz w:val="20"/>
          <w:szCs w:val="20"/>
        </w:rPr>
        <w:t xml:space="preserve">ПП РФ от 4 мая </w:t>
      </w:r>
      <w:smartTag w:uri="urn:schemas-microsoft-com:office:smarttags" w:element="metricconverter">
        <w:smartTagPr>
          <w:attr w:name="ProductID" w:val="2012 г"/>
        </w:smartTagPr>
        <w:r w:rsidRPr="00B1061E">
          <w:rPr>
            <w:rFonts w:ascii="Arial Narrow" w:hAnsi="Arial Narrow"/>
            <w:sz w:val="20"/>
            <w:szCs w:val="20"/>
          </w:rPr>
          <w:t>2012 г</w:t>
        </w:r>
      </w:smartTag>
      <w:r w:rsidRPr="00B1061E">
        <w:rPr>
          <w:rFonts w:ascii="Arial Narrow" w:hAnsi="Arial Narrow"/>
          <w:sz w:val="20"/>
          <w:szCs w:val="20"/>
        </w:rPr>
        <w:t xml:space="preserve">.  №  442 </w:t>
      </w:r>
    </w:p>
    <w:p w:rsidR="00FA698E" w:rsidRDefault="00FA698E" w:rsidP="00FA698E">
      <w:pPr>
        <w:spacing w:line="240" w:lineRule="exact"/>
      </w:pPr>
    </w:p>
    <w:p w:rsidR="00FA698E" w:rsidRDefault="00FA698E" w:rsidP="00FA698E">
      <w:pPr>
        <w:spacing w:line="240" w:lineRule="exact"/>
      </w:pPr>
    </w:p>
    <w:p w:rsidR="00FA698E" w:rsidRDefault="00FA698E" w:rsidP="00FA698E">
      <w:pPr>
        <w:spacing w:line="240" w:lineRule="exact"/>
      </w:pPr>
    </w:p>
    <w:p w:rsidR="00FA698E" w:rsidRDefault="00FA698E" w:rsidP="00FA698E">
      <w:pPr>
        <w:spacing w:line="240" w:lineRule="atLeast"/>
        <w:jc w:val="center"/>
        <w:rPr>
          <w:b/>
        </w:rPr>
      </w:pPr>
      <w:r>
        <w:rPr>
          <w:b/>
        </w:rPr>
        <w:t>РАСЧЕТНЫЕ  СПОСОБЫ</w:t>
      </w:r>
    </w:p>
    <w:p w:rsidR="00FA698E" w:rsidRDefault="00FA698E" w:rsidP="00FA698E">
      <w:pPr>
        <w:spacing w:line="120" w:lineRule="exact"/>
        <w:jc w:val="center"/>
        <w:rPr>
          <w:b/>
        </w:rPr>
      </w:pPr>
    </w:p>
    <w:p w:rsidR="00FA698E" w:rsidRDefault="00FA698E" w:rsidP="00FA698E">
      <w:pPr>
        <w:spacing w:line="240" w:lineRule="atLeast"/>
        <w:jc w:val="center"/>
        <w:rPr>
          <w:b/>
        </w:rPr>
      </w:pPr>
      <w:r>
        <w:rPr>
          <w:b/>
        </w:rPr>
        <w:t>учета электрической энергии (мощности) на розничных рынках электрической энергии</w:t>
      </w:r>
    </w:p>
    <w:p w:rsidR="00FA698E" w:rsidRDefault="00FA698E" w:rsidP="00FA698E">
      <w:pPr>
        <w:ind w:firstLine="709"/>
      </w:pPr>
      <w:bookmarkStart w:id="0" w:name="_GoBack"/>
      <w:bookmarkEnd w:id="0"/>
    </w:p>
    <w:p w:rsidR="00FA698E" w:rsidRDefault="00FA698E" w:rsidP="00FA698E">
      <w:pPr>
        <w:ind w:firstLine="709"/>
      </w:pPr>
    </w:p>
    <w:p w:rsidR="00FA698E" w:rsidRDefault="00FA698E" w:rsidP="00FA698E">
      <w:pPr>
        <w:ind w:firstLine="709"/>
      </w:pPr>
      <w:r>
        <w:t>1. В случаях, предусмотренных пунктами 166, 178, 179, 181 и 195 Основных положений функционирования розничных рынков электрической энергии, применяются следующие расчетные способы определения объема потребления электрической энергии (мощности):</w:t>
      </w:r>
    </w:p>
    <w:p w:rsidR="00FA698E" w:rsidRDefault="00FA698E" w:rsidP="00FA698E">
      <w:pPr>
        <w:ind w:firstLine="709"/>
      </w:pPr>
      <w:r>
        <w:t>а) объем потребления электрической энергии (мощности) в соответствующей точке поставки определяется:</w:t>
      </w:r>
    </w:p>
    <w:p w:rsidR="00FA698E" w:rsidRDefault="00FA698E" w:rsidP="00FA698E">
      <w:pPr>
        <w:ind w:firstLine="709"/>
      </w:pPr>
      <w:r>
        <w:t xml:space="preserve">если в </w:t>
      </w:r>
      <w:r>
        <w:rPr>
          <w:szCs w:val="28"/>
        </w:rPr>
        <w:t>договоре, обеспечивающем продажу электрической энергии (мощности) на розничном рынке,  имеются</w:t>
      </w:r>
      <w:r>
        <w:t xml:space="preserve"> данные о величине максимальной мощности </w:t>
      </w:r>
      <w:proofErr w:type="spellStart"/>
      <w:r>
        <w:t>энергопринимающих</w:t>
      </w:r>
      <w:proofErr w:type="spellEnd"/>
      <w:r>
        <w:t xml:space="preserve"> устройств в соответствующей точке поставки, по формуле:</w:t>
      </w:r>
    </w:p>
    <w:p w:rsidR="00FA698E" w:rsidRDefault="00FA698E" w:rsidP="00FA698E"/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382"/>
      </w:tblGrid>
      <w:tr w:rsidR="00FA698E" w:rsidTr="00FA698E">
        <w:trPr>
          <w:cantSplit/>
        </w:trPr>
        <w:tc>
          <w:tcPr>
            <w:tcW w:w="7905" w:type="dxa"/>
            <w:hideMark/>
          </w:tcPr>
          <w:p w:rsidR="00FA698E" w:rsidRDefault="00FA698E">
            <w:pPr>
              <w:ind w:firstLine="851"/>
              <w:jc w:val="center"/>
            </w:pPr>
            <w:r>
              <w:rPr>
                <w:position w:val="-12"/>
              </w:rPr>
              <w:object w:dxaOrig="150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35pt;height:18.4pt" o:ole="">
                  <v:imagedata r:id="rId5" o:title=""/>
                </v:shape>
                <o:OLEObject Type="Embed" ProgID="Equation.3" ShapeID="_x0000_i1025" DrawAspect="Content" ObjectID="_1402725894" r:id="rId6"/>
              </w:object>
            </w:r>
            <w:r>
              <w:t>,</w:t>
            </w:r>
          </w:p>
        </w:tc>
        <w:tc>
          <w:tcPr>
            <w:tcW w:w="1382" w:type="dxa"/>
          </w:tcPr>
          <w:p w:rsidR="00FA698E" w:rsidRDefault="00FA698E">
            <w:pPr>
              <w:jc w:val="right"/>
            </w:pPr>
          </w:p>
        </w:tc>
      </w:tr>
    </w:tbl>
    <w:p w:rsidR="00FA698E" w:rsidRDefault="00FA698E" w:rsidP="00FA698E"/>
    <w:p w:rsidR="00FA698E" w:rsidRDefault="00FA698E" w:rsidP="00FA698E">
      <w:pPr>
        <w:ind w:firstLine="709"/>
      </w:pPr>
      <w:r>
        <w:t>где:</w:t>
      </w:r>
    </w:p>
    <w:p w:rsidR="00FA698E" w:rsidRDefault="00FA698E" w:rsidP="00FA698E">
      <w:pPr>
        <w:ind w:firstLine="709"/>
      </w:pPr>
      <w:r>
        <w:rPr>
          <w:position w:val="-12"/>
        </w:rPr>
        <w:object w:dxaOrig="615" w:dyaOrig="375">
          <v:shape id="_x0000_i1026" type="#_x0000_t75" style="width:31pt;height:18.4pt" o:ole="">
            <v:imagedata r:id="rId7" o:title=""/>
          </v:shape>
          <o:OLEObject Type="Embed" ProgID="Equation.3" ShapeID="_x0000_i1026" DrawAspect="Content" ObjectID="_1402725895" r:id="rId8"/>
        </w:object>
      </w:r>
      <w:r>
        <w:t> </w:t>
      </w:r>
      <w:proofErr w:type="gramStart"/>
      <w:r>
        <w:t xml:space="preserve">- 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устройств, относящаяся к соответствующей точке поставки, а в случае, если  в договоре, </w:t>
      </w:r>
      <w:r>
        <w:rPr>
          <w:szCs w:val="28"/>
        </w:rPr>
        <w:t>обеспечивающем продажу электрической энергии (мощности) на розничном рынке,</w:t>
      </w:r>
      <w:r>
        <w:t xml:space="preserve"> не предусмотрено распределение максимальной мощности по точкам поставки, то в целях применения настоящей формулы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(кабеля), МВт;</w:t>
      </w:r>
      <w:proofErr w:type="gramEnd"/>
    </w:p>
    <w:p w:rsidR="00FA698E" w:rsidRDefault="00FA698E" w:rsidP="00FA698E">
      <w:pPr>
        <w:ind w:firstLine="709"/>
      </w:pPr>
      <w:proofErr w:type="gramStart"/>
      <w:r>
        <w:t xml:space="preserve">Т - количество часов в расчетном периоде, </w:t>
      </w:r>
      <w:r>
        <w:rPr>
          <w:szCs w:val="28"/>
        </w:rPr>
        <w:t xml:space="preserve">при определении объема потребления электрической энергии (мощности) за которые </w:t>
      </w:r>
      <w:r>
        <w:t xml:space="preserve">в соответствии с пунктами 166, 178, 179 и 181 Основных положений функционирования розничных рынков электрической энергии подлежат применению указанные в настоящем приложении расчетные способы, или количество часов в </w:t>
      </w:r>
      <w:r>
        <w:rPr>
          <w:szCs w:val="28"/>
        </w:rPr>
        <w:t xml:space="preserve">определенном в соответствии с пунктом 195 </w:t>
      </w:r>
      <w:r>
        <w:t>Основных положений функционирования розничных рынков электрической энергии периоде времени, в течение</w:t>
      </w:r>
      <w:proofErr w:type="gramEnd"/>
      <w:r>
        <w:t xml:space="preserve"> </w:t>
      </w:r>
      <w:proofErr w:type="gramStart"/>
      <w:r>
        <w:t>которого</w:t>
      </w:r>
      <w:proofErr w:type="gramEnd"/>
      <w:r>
        <w:t xml:space="preserve"> осуществлялось </w:t>
      </w:r>
      <w:proofErr w:type="spellStart"/>
      <w:r>
        <w:t>безучетное</w:t>
      </w:r>
      <w:proofErr w:type="spellEnd"/>
      <w:r>
        <w:t xml:space="preserve"> потребление электрической энергии, но не более 8760 часов, ч;</w:t>
      </w:r>
    </w:p>
    <w:p w:rsidR="00FA698E" w:rsidRDefault="00FA698E" w:rsidP="00FA698E">
      <w:pPr>
        <w:ind w:firstLine="709"/>
      </w:pPr>
      <w:r>
        <w:t xml:space="preserve">если в </w:t>
      </w:r>
      <w:r>
        <w:rPr>
          <w:szCs w:val="28"/>
        </w:rPr>
        <w:t xml:space="preserve">договоре, обеспечивающем продажу электрической энергии (мощности) на розничном рынке, </w:t>
      </w:r>
      <w:r>
        <w:t xml:space="preserve">отсутствуют данные о величине максимальной мощности </w:t>
      </w:r>
      <w:proofErr w:type="spellStart"/>
      <w:r>
        <w:t>энергопринимающих</w:t>
      </w:r>
      <w:proofErr w:type="spellEnd"/>
      <w:r>
        <w:t xml:space="preserve"> устройств, по формулам:</w:t>
      </w:r>
    </w:p>
    <w:p w:rsidR="00FA698E" w:rsidRDefault="00FA698E" w:rsidP="00FA698E">
      <w:pPr>
        <w:ind w:firstLine="709"/>
      </w:pPr>
      <w:r>
        <w:t>для однофазного ввода:</w:t>
      </w:r>
    </w:p>
    <w:p w:rsidR="00FA698E" w:rsidRDefault="00FA698E" w:rsidP="00FA698E"/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382"/>
      </w:tblGrid>
      <w:tr w:rsidR="00FA698E" w:rsidTr="00FA698E">
        <w:trPr>
          <w:cantSplit/>
        </w:trPr>
        <w:tc>
          <w:tcPr>
            <w:tcW w:w="7905" w:type="dxa"/>
            <w:hideMark/>
          </w:tcPr>
          <w:p w:rsidR="00FA698E" w:rsidRDefault="00FA698E">
            <w:pPr>
              <w:ind w:firstLine="709"/>
              <w:jc w:val="center"/>
            </w:pPr>
            <w:r>
              <w:rPr>
                <w:position w:val="-32"/>
              </w:rPr>
              <w:object w:dxaOrig="3240" w:dyaOrig="795">
                <v:shape id="_x0000_i1027" type="#_x0000_t75" style="width:162.4pt;height:39.35pt" o:ole="">
                  <v:imagedata r:id="rId9" o:title=""/>
                </v:shape>
                <o:OLEObject Type="Embed" ProgID="Equation.3" ShapeID="_x0000_i1027" DrawAspect="Content" ObjectID="_1402725896" r:id="rId10"/>
              </w:object>
            </w:r>
            <w:r>
              <w:t>,</w:t>
            </w:r>
          </w:p>
        </w:tc>
        <w:tc>
          <w:tcPr>
            <w:tcW w:w="1382" w:type="dxa"/>
          </w:tcPr>
          <w:p w:rsidR="00FA698E" w:rsidRDefault="00FA698E">
            <w:pPr>
              <w:jc w:val="right"/>
            </w:pPr>
          </w:p>
        </w:tc>
      </w:tr>
    </w:tbl>
    <w:p w:rsidR="00FA698E" w:rsidRDefault="00FA698E" w:rsidP="00FA698E"/>
    <w:p w:rsidR="00FA698E" w:rsidRDefault="00FA698E" w:rsidP="00FA698E">
      <w:pPr>
        <w:ind w:firstLine="709"/>
      </w:pPr>
      <w:r>
        <w:lastRenderedPageBreak/>
        <w:t xml:space="preserve"> для трехфазного ввода:</w:t>
      </w:r>
    </w:p>
    <w:p w:rsidR="00FA698E" w:rsidRDefault="00FA698E" w:rsidP="00FA698E"/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382"/>
      </w:tblGrid>
      <w:tr w:rsidR="00FA698E" w:rsidTr="00FA698E">
        <w:trPr>
          <w:cantSplit/>
        </w:trPr>
        <w:tc>
          <w:tcPr>
            <w:tcW w:w="7905" w:type="dxa"/>
            <w:hideMark/>
          </w:tcPr>
          <w:p w:rsidR="00FA698E" w:rsidRDefault="00FA698E">
            <w:pPr>
              <w:ind w:firstLine="709"/>
              <w:jc w:val="center"/>
            </w:pPr>
            <w:r>
              <w:rPr>
                <w:position w:val="-32"/>
              </w:rPr>
              <w:object w:dxaOrig="3600" w:dyaOrig="795">
                <v:shape id="_x0000_i1028" type="#_x0000_t75" style="width:180pt;height:39.35pt" o:ole="">
                  <v:imagedata r:id="rId11" o:title=""/>
                </v:shape>
                <o:OLEObject Type="Embed" ProgID="Equation.3" ShapeID="_x0000_i1028" DrawAspect="Content" ObjectID="_1402725897" r:id="rId12"/>
              </w:object>
            </w:r>
            <w:r>
              <w:t>,</w:t>
            </w:r>
          </w:p>
        </w:tc>
        <w:tc>
          <w:tcPr>
            <w:tcW w:w="1382" w:type="dxa"/>
          </w:tcPr>
          <w:p w:rsidR="00FA698E" w:rsidRDefault="00FA698E">
            <w:pPr>
              <w:jc w:val="right"/>
            </w:pPr>
          </w:p>
        </w:tc>
      </w:tr>
    </w:tbl>
    <w:p w:rsidR="00FA698E" w:rsidRDefault="00FA698E" w:rsidP="00FA698E"/>
    <w:p w:rsidR="00FA698E" w:rsidRDefault="00FA698E" w:rsidP="00FA698E">
      <w:pPr>
        <w:ind w:firstLine="709"/>
      </w:pPr>
      <w:r>
        <w:t>где:</w:t>
      </w:r>
    </w:p>
    <w:p w:rsidR="00FA698E" w:rsidRDefault="00FA698E" w:rsidP="00FA698E">
      <w:pPr>
        <w:ind w:firstLine="709"/>
      </w:pPr>
      <w:r>
        <w:rPr>
          <w:position w:val="-14"/>
        </w:rPr>
        <w:object w:dxaOrig="720" w:dyaOrig="405">
          <v:shape id="_x0000_i1029" type="#_x0000_t75" style="width:36pt;height:20.1pt" o:ole="">
            <v:imagedata r:id="rId13" o:title=""/>
          </v:shape>
          <o:OLEObject Type="Embed" ProgID="Equation.3" ShapeID="_x0000_i1029" DrawAspect="Content" ObjectID="_1402725898" r:id="rId14"/>
        </w:object>
      </w:r>
      <w:r>
        <w:t xml:space="preserve"> - допустимая длительная токовая нагрузка вводного провода (кабеля), А;</w:t>
      </w:r>
    </w:p>
    <w:p w:rsidR="00FA698E" w:rsidRDefault="00FA698E" w:rsidP="00FA698E">
      <w:pPr>
        <w:ind w:firstLine="709"/>
      </w:pPr>
      <w:r>
        <w:rPr>
          <w:position w:val="-16"/>
        </w:rPr>
        <w:object w:dxaOrig="780" w:dyaOrig="420">
          <v:shape id="_x0000_i1030" type="#_x0000_t75" style="width:39.35pt;height:20.95pt" o:ole="">
            <v:imagedata r:id="rId15" o:title=""/>
          </v:shape>
          <o:OLEObject Type="Embed" ProgID="Equation.3" ShapeID="_x0000_i1030" DrawAspect="Content" ObjectID="_1402725899" r:id="rId16"/>
        </w:object>
      </w:r>
      <w:r>
        <w:t xml:space="preserve"> - номинальное фазное напряжение, </w:t>
      </w:r>
      <w:proofErr w:type="spellStart"/>
      <w:r>
        <w:t>кВ</w:t>
      </w:r>
      <w:proofErr w:type="spellEnd"/>
      <w:r>
        <w:t>;</w:t>
      </w:r>
    </w:p>
    <w:p w:rsidR="00FA698E" w:rsidRDefault="00FA698E" w:rsidP="00FA698E">
      <w:pPr>
        <w:ind w:firstLine="709"/>
      </w:pPr>
      <w:r>
        <w:rPr>
          <w:position w:val="-10"/>
        </w:rPr>
        <w:object w:dxaOrig="600" w:dyaOrig="285">
          <v:shape id="_x0000_i1031" type="#_x0000_t75" style="width:30.15pt;height:14.25pt" o:ole="">
            <v:imagedata r:id="rId17" o:title=""/>
          </v:shape>
          <o:OLEObject Type="Embed" ProgID="Equation.3" ShapeID="_x0000_i1031" DrawAspect="Content" ObjectID="_1402725900" r:id="rId18"/>
        </w:object>
      </w:r>
      <w:r>
        <w:t xml:space="preserve"> - коэффициент мощности при максимуме нагрузки. При отсутствии данных в договоре коэффициент принимается </w:t>
      </w:r>
      <w:proofErr w:type="gramStart"/>
      <w:r>
        <w:t>равным</w:t>
      </w:r>
      <w:proofErr w:type="gramEnd"/>
      <w:r>
        <w:t xml:space="preserve"> 0,9;</w:t>
      </w:r>
    </w:p>
    <w:p w:rsidR="00FA698E" w:rsidRDefault="00FA698E" w:rsidP="00FA698E">
      <w:pPr>
        <w:ind w:firstLine="709"/>
      </w:pPr>
      <w:r>
        <w:t>б) почасовые объемы потребления электрической энергии в соответствующей точке поставки определяются по формуле:</w:t>
      </w:r>
    </w:p>
    <w:p w:rsidR="00FA698E" w:rsidRDefault="00FA698E" w:rsidP="00FA698E"/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382"/>
      </w:tblGrid>
      <w:tr w:rsidR="00FA698E" w:rsidTr="00FA698E">
        <w:trPr>
          <w:cantSplit/>
        </w:trPr>
        <w:tc>
          <w:tcPr>
            <w:tcW w:w="7905" w:type="dxa"/>
            <w:hideMark/>
          </w:tcPr>
          <w:p w:rsidR="00FA698E" w:rsidRDefault="00FA698E">
            <w:pPr>
              <w:ind w:firstLine="709"/>
              <w:jc w:val="center"/>
            </w:pPr>
            <w:r>
              <w:rPr>
                <w:position w:val="-26"/>
              </w:rPr>
              <w:object w:dxaOrig="1065" w:dyaOrig="705">
                <v:shape id="_x0000_i1032" type="#_x0000_t75" style="width:53.6pt;height:35.15pt" o:ole="">
                  <v:imagedata r:id="rId19" o:title=""/>
                </v:shape>
                <o:OLEObject Type="Embed" ProgID="Equation.3" ShapeID="_x0000_i1032" DrawAspect="Content" ObjectID="_1402725901" r:id="rId20"/>
              </w:object>
            </w:r>
            <w:r>
              <w:t>,</w:t>
            </w:r>
          </w:p>
        </w:tc>
        <w:tc>
          <w:tcPr>
            <w:tcW w:w="1382" w:type="dxa"/>
          </w:tcPr>
          <w:p w:rsidR="00FA698E" w:rsidRDefault="00FA698E">
            <w:pPr>
              <w:jc w:val="right"/>
            </w:pPr>
          </w:p>
        </w:tc>
      </w:tr>
    </w:tbl>
    <w:p w:rsidR="00FA698E" w:rsidRDefault="00FA698E" w:rsidP="00FA698E"/>
    <w:p w:rsidR="00FA698E" w:rsidRDefault="00FA698E" w:rsidP="00FA698E">
      <w:pPr>
        <w:ind w:firstLine="709"/>
      </w:pPr>
      <w:r>
        <w:t xml:space="preserve">где W - объем потребления электрической энергии в соответствующей точке поставки, определенный в соответствии с подпунктом </w:t>
      </w:r>
      <w:r>
        <w:rPr>
          <w:szCs w:val="28"/>
        </w:rPr>
        <w:t xml:space="preserve">«а» </w:t>
      </w:r>
      <w:r>
        <w:t xml:space="preserve"> настоящего пункта, </w:t>
      </w:r>
      <w:proofErr w:type="spellStart"/>
      <w:r>
        <w:t>МВт∙</w:t>
      </w:r>
      <w:proofErr w:type="gramStart"/>
      <w:r>
        <w:t>ч</w:t>
      </w:r>
      <w:proofErr w:type="spellEnd"/>
      <w:proofErr w:type="gramEnd"/>
      <w:r>
        <w:t>.</w:t>
      </w:r>
    </w:p>
    <w:p w:rsidR="00FA698E" w:rsidRDefault="00FA698E" w:rsidP="00FA698E">
      <w:pPr>
        <w:ind w:firstLine="709"/>
      </w:pPr>
      <w:r>
        <w:t>2. 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(кабеля) по формулам:</w:t>
      </w:r>
    </w:p>
    <w:p w:rsidR="00FA698E" w:rsidRDefault="00FA698E" w:rsidP="00FA698E">
      <w:pPr>
        <w:ind w:firstLine="709"/>
      </w:pPr>
      <w:r>
        <w:t>для однофазного ввода:</w:t>
      </w:r>
    </w:p>
    <w:p w:rsidR="00FA698E" w:rsidRDefault="00FA698E" w:rsidP="00FA698E"/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382"/>
      </w:tblGrid>
      <w:tr w:rsidR="00FA698E" w:rsidTr="00FA698E">
        <w:trPr>
          <w:cantSplit/>
        </w:trPr>
        <w:tc>
          <w:tcPr>
            <w:tcW w:w="7905" w:type="dxa"/>
            <w:hideMark/>
          </w:tcPr>
          <w:p w:rsidR="00FA698E" w:rsidRDefault="00FA698E">
            <w:pPr>
              <w:ind w:firstLine="709"/>
              <w:jc w:val="center"/>
            </w:pPr>
            <w:r>
              <w:rPr>
                <w:position w:val="-26"/>
              </w:rPr>
              <w:object w:dxaOrig="3465" w:dyaOrig="780">
                <v:shape id="_x0000_i1033" type="#_x0000_t75" style="width:173.3pt;height:39.35pt" o:ole="">
                  <v:imagedata r:id="rId21" o:title=""/>
                </v:shape>
                <o:OLEObject Type="Embed" ProgID="Equation.3" ShapeID="_x0000_i1033" DrawAspect="Content" ObjectID="_1402725902" r:id="rId22"/>
              </w:object>
            </w:r>
            <w:r>
              <w:rPr>
                <w:position w:val="6"/>
              </w:rPr>
              <w:t>,</w:t>
            </w:r>
          </w:p>
        </w:tc>
        <w:tc>
          <w:tcPr>
            <w:tcW w:w="1382" w:type="dxa"/>
          </w:tcPr>
          <w:p w:rsidR="00FA698E" w:rsidRDefault="00FA698E">
            <w:pPr>
              <w:jc w:val="right"/>
            </w:pPr>
          </w:p>
        </w:tc>
      </w:tr>
    </w:tbl>
    <w:p w:rsidR="00FA698E" w:rsidRDefault="00FA698E" w:rsidP="00FA698E"/>
    <w:p w:rsidR="00FA698E" w:rsidRDefault="00FA698E" w:rsidP="00FA698E">
      <w:pPr>
        <w:ind w:firstLine="709"/>
      </w:pPr>
      <w:r>
        <w:t xml:space="preserve"> для трехфазного ввода:</w:t>
      </w:r>
    </w:p>
    <w:p w:rsidR="00FA698E" w:rsidRDefault="00FA698E" w:rsidP="00FA698E">
      <w:pPr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382"/>
      </w:tblGrid>
      <w:tr w:rsidR="00FA698E" w:rsidTr="00FA698E">
        <w:trPr>
          <w:cantSplit/>
        </w:trPr>
        <w:tc>
          <w:tcPr>
            <w:tcW w:w="7905" w:type="dxa"/>
            <w:hideMark/>
          </w:tcPr>
          <w:p w:rsidR="00FA698E" w:rsidRDefault="00FA698E">
            <w:pPr>
              <w:ind w:firstLine="709"/>
              <w:jc w:val="center"/>
            </w:pPr>
            <w:r>
              <w:rPr>
                <w:position w:val="-28"/>
              </w:rPr>
              <w:object w:dxaOrig="3780" w:dyaOrig="795">
                <v:shape id="_x0000_i1034" type="#_x0000_t75" style="width:189.2pt;height:39.35pt" o:ole="">
                  <v:imagedata r:id="rId23" o:title=""/>
                </v:shape>
                <o:OLEObject Type="Embed" ProgID="Equation.3" ShapeID="_x0000_i1034" DrawAspect="Content" ObjectID="_1402725903" r:id="rId24"/>
              </w:object>
            </w:r>
            <w:r>
              <w:rPr>
                <w:position w:val="6"/>
              </w:rPr>
              <w:t>,</w:t>
            </w:r>
          </w:p>
        </w:tc>
        <w:tc>
          <w:tcPr>
            <w:tcW w:w="1382" w:type="dxa"/>
          </w:tcPr>
          <w:p w:rsidR="00FA698E" w:rsidRDefault="00FA698E">
            <w:pPr>
              <w:jc w:val="right"/>
            </w:pPr>
          </w:p>
        </w:tc>
      </w:tr>
    </w:tbl>
    <w:p w:rsidR="00FA698E" w:rsidRDefault="00FA698E" w:rsidP="00FA698E"/>
    <w:p w:rsidR="00FA698E" w:rsidRDefault="00FA698E" w:rsidP="00FA698E">
      <w:pPr>
        <w:ind w:firstLine="709"/>
      </w:pPr>
      <w:r>
        <w:t xml:space="preserve">где </w:t>
      </w:r>
      <w:proofErr w:type="spellStart"/>
      <w:r>
        <w:t>Т</w:t>
      </w:r>
      <w:r>
        <w:rPr>
          <w:vertAlign w:val="superscript"/>
        </w:rPr>
        <w:t>бд</w:t>
      </w:r>
      <w:proofErr w:type="spellEnd"/>
      <w:r>
        <w:rPr>
          <w:vertAlign w:val="superscript"/>
        </w:rPr>
        <w:t> </w:t>
      </w:r>
      <w:r>
        <w:t xml:space="preserve">- количество часов в </w:t>
      </w:r>
      <w:r>
        <w:rPr>
          <w:szCs w:val="28"/>
        </w:rPr>
        <w:t xml:space="preserve">определенном в соответствии с пунктом 196 </w:t>
      </w:r>
      <w:r>
        <w:t xml:space="preserve">Основных положений функционирования розничных рынков электрической энергии периоде </w:t>
      </w:r>
      <w:r>
        <w:rPr>
          <w:szCs w:val="28"/>
        </w:rPr>
        <w:t>времени,</w:t>
      </w:r>
      <w:r>
        <w:t xml:space="preserve"> </w:t>
      </w:r>
      <w:r>
        <w:rPr>
          <w:szCs w:val="28"/>
        </w:rPr>
        <w:t xml:space="preserve">в течение которого осуществлялось бездоговорное потребление, </w:t>
      </w:r>
      <w:r>
        <w:t>но не более чем 26280 часов,</w:t>
      </w:r>
      <w:r>
        <w:rPr>
          <w:lang w:val="en-US"/>
        </w:rPr>
        <w:t> </w:t>
      </w:r>
      <w:proofErr w:type="gramStart"/>
      <w:r>
        <w:t>ч</w:t>
      </w:r>
      <w:proofErr w:type="gramEnd"/>
      <w:r>
        <w:t>.</w:t>
      </w:r>
    </w:p>
    <w:p w:rsidR="00FA698E" w:rsidRDefault="00FA698E" w:rsidP="00FA698E">
      <w:pPr>
        <w:ind w:firstLine="709"/>
      </w:pPr>
    </w:p>
    <w:p w:rsidR="00FA698E" w:rsidRDefault="00FA698E" w:rsidP="00FA698E">
      <w:pPr>
        <w:ind w:firstLine="709"/>
      </w:pPr>
    </w:p>
    <w:p w:rsidR="007E6740" w:rsidRDefault="007E6740"/>
    <w:sectPr w:rsidR="007E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8E"/>
    <w:rsid w:val="00032C53"/>
    <w:rsid w:val="00045C69"/>
    <w:rsid w:val="000508E5"/>
    <w:rsid w:val="00095513"/>
    <w:rsid w:val="000D4B5E"/>
    <w:rsid w:val="00100330"/>
    <w:rsid w:val="00121E16"/>
    <w:rsid w:val="001775EC"/>
    <w:rsid w:val="001F442F"/>
    <w:rsid w:val="00200455"/>
    <w:rsid w:val="0020654F"/>
    <w:rsid w:val="002410B3"/>
    <w:rsid w:val="002427AD"/>
    <w:rsid w:val="002A6BEA"/>
    <w:rsid w:val="002C3CB6"/>
    <w:rsid w:val="002C7B32"/>
    <w:rsid w:val="00316F93"/>
    <w:rsid w:val="00327CCE"/>
    <w:rsid w:val="00337A6A"/>
    <w:rsid w:val="00355925"/>
    <w:rsid w:val="00364D17"/>
    <w:rsid w:val="00372843"/>
    <w:rsid w:val="003806A6"/>
    <w:rsid w:val="003A7C07"/>
    <w:rsid w:val="003E1CE9"/>
    <w:rsid w:val="003E1E70"/>
    <w:rsid w:val="003E66C7"/>
    <w:rsid w:val="00431A7E"/>
    <w:rsid w:val="00435352"/>
    <w:rsid w:val="0044611B"/>
    <w:rsid w:val="004F2C4B"/>
    <w:rsid w:val="00506817"/>
    <w:rsid w:val="005136E4"/>
    <w:rsid w:val="00523C05"/>
    <w:rsid w:val="00527500"/>
    <w:rsid w:val="00562B34"/>
    <w:rsid w:val="00590853"/>
    <w:rsid w:val="005F4414"/>
    <w:rsid w:val="00603CEC"/>
    <w:rsid w:val="00624178"/>
    <w:rsid w:val="00651458"/>
    <w:rsid w:val="0065753A"/>
    <w:rsid w:val="00667E73"/>
    <w:rsid w:val="00672AAE"/>
    <w:rsid w:val="006A34A8"/>
    <w:rsid w:val="006B3C79"/>
    <w:rsid w:val="006C00FE"/>
    <w:rsid w:val="006D3040"/>
    <w:rsid w:val="006E0894"/>
    <w:rsid w:val="006F05CD"/>
    <w:rsid w:val="006F1DA3"/>
    <w:rsid w:val="007147E8"/>
    <w:rsid w:val="007247C7"/>
    <w:rsid w:val="007371D5"/>
    <w:rsid w:val="00740D9B"/>
    <w:rsid w:val="00762F6E"/>
    <w:rsid w:val="007A6BAB"/>
    <w:rsid w:val="007E6740"/>
    <w:rsid w:val="007F628F"/>
    <w:rsid w:val="00827673"/>
    <w:rsid w:val="0089108A"/>
    <w:rsid w:val="0089492F"/>
    <w:rsid w:val="00906041"/>
    <w:rsid w:val="00907B99"/>
    <w:rsid w:val="009221EB"/>
    <w:rsid w:val="00956D8B"/>
    <w:rsid w:val="009850A5"/>
    <w:rsid w:val="00986E5F"/>
    <w:rsid w:val="009C11DB"/>
    <w:rsid w:val="009F3AE9"/>
    <w:rsid w:val="009F603C"/>
    <w:rsid w:val="00A1034F"/>
    <w:rsid w:val="00A43853"/>
    <w:rsid w:val="00A553A7"/>
    <w:rsid w:val="00A63416"/>
    <w:rsid w:val="00A90761"/>
    <w:rsid w:val="00AC7AA1"/>
    <w:rsid w:val="00AF7048"/>
    <w:rsid w:val="00B30062"/>
    <w:rsid w:val="00B45F63"/>
    <w:rsid w:val="00B66D32"/>
    <w:rsid w:val="00B87BE3"/>
    <w:rsid w:val="00B94E02"/>
    <w:rsid w:val="00BB5891"/>
    <w:rsid w:val="00BF45B9"/>
    <w:rsid w:val="00C23142"/>
    <w:rsid w:val="00C40612"/>
    <w:rsid w:val="00C72F1A"/>
    <w:rsid w:val="00C860C4"/>
    <w:rsid w:val="00CB2739"/>
    <w:rsid w:val="00CE1D84"/>
    <w:rsid w:val="00D47FFB"/>
    <w:rsid w:val="00D5668D"/>
    <w:rsid w:val="00D614AC"/>
    <w:rsid w:val="00D64DA7"/>
    <w:rsid w:val="00D76108"/>
    <w:rsid w:val="00DB4381"/>
    <w:rsid w:val="00E201AE"/>
    <w:rsid w:val="00E24A3E"/>
    <w:rsid w:val="00E279BC"/>
    <w:rsid w:val="00E3470D"/>
    <w:rsid w:val="00E5046F"/>
    <w:rsid w:val="00E570F2"/>
    <w:rsid w:val="00E6120D"/>
    <w:rsid w:val="00E73CD8"/>
    <w:rsid w:val="00EC1369"/>
    <w:rsid w:val="00EF32B6"/>
    <w:rsid w:val="00F24FCB"/>
    <w:rsid w:val="00F311B7"/>
    <w:rsid w:val="00F43AEC"/>
    <w:rsid w:val="00F762C4"/>
    <w:rsid w:val="00F86EF3"/>
    <w:rsid w:val="00FA698E"/>
    <w:rsid w:val="00FB4F7D"/>
    <w:rsid w:val="00FC77E4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2012-07-02T05:17:00Z</dcterms:created>
  <dcterms:modified xsi:type="dcterms:W3CDTF">2012-07-02T05:18:00Z</dcterms:modified>
</cp:coreProperties>
</file>